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E80" w:rsidRDefault="00E40E80" w:rsidP="00C5248C">
      <w:pP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24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Система профилактики терроризма в Российской Федерации</w:t>
      </w:r>
    </w:p>
    <w:p w:rsidR="00C5248C" w:rsidRDefault="00C5248C" w:rsidP="00C5248C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40E80" w:rsidRPr="00C5248C" w:rsidRDefault="00C5248C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E80"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– деятельность органов государственной власти, органов государственной власти административно-территориальных образований государства, органов местного самоуправления и общественных объединений по предупреждению терроризма и (или) террористической деятельности, заключающаяся в выявлении, локализации и устранении причин и условий, способствующих возникновению и распространению терроризма и осуществлению террористической деятельности, совершению актов терроризма; защите объектов потенциальных террористических посягательств; создании условий, препятствующих совершению актов терроризма, минимизации их последствий, а также в воздействии на физических лиц, которые вовлекаются или могут быть вовлечены в террористическую деятельность и (или) совершить акты терроризма.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осуществляется по трем основным направлениям: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осуществление на системной основе противодействия идеологии терроризма и экстремизма;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антитеррористической защищенности потенциальных объектов террористических устремлений;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-усиление контроля за соблюдением административных, правовых и иных режимов, способствующих противодействию терроризму.</w:t>
      </w:r>
    </w:p>
    <w:p w:rsidR="00E40E80" w:rsidRPr="00C5248C" w:rsidRDefault="00C5248C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E80"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идеологии терроризма включает в себя комплекс организационных, социально-политических, информационно-пропагандистских мер по предупреждению распространения в обществе убеждений, идей, настроений, мотивов, установок, направленных на коренное изменение существующих социальных и политических институтов государства. В качестве потенциальных объектов террористических устремлений могут рассматриваться любые физические и юридические лица, места массового пребывания людей, объекты недвижимости, критической инфраструктуры, транспорта, жизнеобеспечения, коммуникационные и информационные сети. Под антитеррористической защищенностью потенциальных объектов террористических устремлений следует понимать комплексное использование сил физической защиты, инженерно-технических средств и режимных мер, направленных на обеспечение их безопасного функционирования. В связи с этим особая роль принадлежит эффективной реализации административно-правовых режимов, предусмотренных законодательством Российской Федерации.</w:t>
      </w:r>
    </w:p>
    <w:p w:rsidR="00C5248C" w:rsidRDefault="00C5248C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0E80" w:rsidRPr="00C5248C" w:rsidRDefault="00C5248C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40E80"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предполагает решение следующих задач: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рекомендаций и осуществление мероприятий по устранению причин и условий, способствующих возникновению и распространению терроризма;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прогнозирование террористических угроз, информирование о них органов государственной власти и органов местного самоуправления, а также общественности для принятия мер по их нейтрализации;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сдерживающего и позитивного воздействия на поведение отдельных лиц (групп лиц), склонных к экстремистским действиям;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правовой регламентации деятельности органов исполнительной власти субъектов Российской Федерации и антитеррористических комиссий в субъектах Российской Федерации при введении режимов террористических угроз;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перечня антитеррористических мероприятий для организации и проведения их на территории субъектов Российской Федерации с обязательным определением источников их финансирования;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и введение типовых требований по защите от угроз террористических актов критически важных и потенциально опасных объектов, мест массового пребывания людей;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прав, обязанностей и ответственности руководителей органов исполнительной власти и хозяйствующих субъектов при организации мероприятий по антитеррористической защищенности подведомственных им объектов;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правовой регламентации возмещения ущерба лицам, участвующим в пресечении террористического акта и проведении контртеррористической операции и (или) пострадавшим в результате их осуществления;</w:t>
      </w:r>
    </w:p>
    <w:p w:rsidR="00E40E80" w:rsidRPr="00C5248C" w:rsidRDefault="00E40E80" w:rsidP="00C524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взаимодействия федеральных органов исполнительной власти в целях выработки единой стратегии и тактики в рамках осуществления международного сотрудничества в сфере противодействия терроризму. Организация деятельности по профилактике терроризма требует обеспечения скоординированной работы органов государственной власти с общественными организациями и объединениями, религиозными структурами, другими институтами гражданского общества и отдельными гражданами. Реализация указанных задач осуществляется в рамках создания эффективной системы мер по противодействию терроризму.</w:t>
      </w:r>
    </w:p>
    <w:p w:rsidR="00383881" w:rsidRDefault="00383881" w:rsidP="0038388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hyperlink r:id="rId4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– </w:t>
        </w:r>
      </w:hyperlink>
      <w:hyperlink r:id="rId5" w:tgtFrame="_blank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Портал Н</w:t>
        </w:r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а</w:t>
        </w:r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ционального антитеррористического комитета</w:t>
        </w:r>
      </w:hyperlink>
      <w:bookmarkStart w:id="0" w:name="_GoBack"/>
      <w:bookmarkEnd w:id="0"/>
    </w:p>
    <w:p w:rsidR="00383881" w:rsidRDefault="00383881" w:rsidP="0038388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hyperlink r:id="rId6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– </w:t>
        </w:r>
      </w:hyperlink>
      <w:hyperlink r:id="rId7" w:tgtFrame="_blank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Сайт Антитеррористической комиссии в Свердловской области</w:t>
        </w:r>
      </w:hyperlink>
    </w:p>
    <w:p w:rsidR="00383881" w:rsidRPr="00383881" w:rsidRDefault="00383881" w:rsidP="0038388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  <w:lang w:val="en-US"/>
        </w:rPr>
      </w:pPr>
      <w:hyperlink r:id="rId8" w:history="1">
        <w:r w:rsidRPr="00383881"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  <w:lang w:val="en-US"/>
          </w:rPr>
          <w:t>– </w:t>
        </w:r>
      </w:hyperlink>
      <w:hyperlink r:id="rId9" w:tgtFrame="_blank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Сайт</w:t>
        </w:r>
        <w:r w:rsidRPr="00383881"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  <w:lang w:val="en-US"/>
          </w:rPr>
          <w:t xml:space="preserve"> "Antiterror Todey"</w:t>
        </w:r>
      </w:hyperlink>
    </w:p>
    <w:p w:rsidR="00383881" w:rsidRPr="00383881" w:rsidRDefault="00383881" w:rsidP="0038388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  <w:lang w:val="en-US"/>
        </w:rPr>
      </w:pPr>
      <w:hyperlink r:id="rId10" w:history="1">
        <w:r w:rsidRPr="00383881"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  <w:lang w:val="en-US"/>
          </w:rPr>
          <w:t>– </w:t>
        </w:r>
      </w:hyperlink>
      <w:hyperlink r:id="rId11" w:tgtFrame="_blank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Сайт</w:t>
        </w:r>
        <w:r w:rsidRPr="00383881"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  <w:lang w:val="en-US"/>
          </w:rPr>
          <w:t xml:space="preserve"> "</w:t>
        </w:r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Вымпел</w:t>
        </w:r>
        <w:r w:rsidRPr="00383881"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  <w:lang w:val="en-US"/>
          </w:rPr>
          <w:t>-</w:t>
        </w:r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В</w:t>
        </w:r>
        <w:r w:rsidRPr="00383881"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  <w:lang w:val="en-US"/>
          </w:rPr>
          <w:t>"</w:t>
        </w:r>
      </w:hyperlink>
    </w:p>
    <w:p w:rsidR="00383881" w:rsidRDefault="00383881" w:rsidP="0038388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hyperlink r:id="rId12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– </w:t>
        </w:r>
      </w:hyperlink>
      <w:hyperlink r:id="rId13" w:tgtFrame="_blank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Сайт "Антитеррор: Спецназ Российской Федерации"</w:t>
        </w:r>
      </w:hyperlink>
    </w:p>
    <w:p w:rsidR="00383881" w:rsidRDefault="00383881" w:rsidP="0038388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hyperlink r:id="rId14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– </w:t>
        </w:r>
      </w:hyperlink>
      <w:hyperlink r:id="rId15" w:tgtFrame="_blank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Сайт "Наука и образование против террора"</w:t>
        </w:r>
      </w:hyperlink>
    </w:p>
    <w:p w:rsidR="00383881" w:rsidRDefault="00383881" w:rsidP="00383881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353434"/>
          <w:sz w:val="18"/>
          <w:szCs w:val="18"/>
        </w:rPr>
      </w:pPr>
      <w:hyperlink r:id="rId16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– С</w:t>
        </w:r>
      </w:hyperlink>
      <w:hyperlink r:id="rId17" w:tgtFrame="_blank" w:history="1">
        <w:r>
          <w:rPr>
            <w:rStyle w:val="a4"/>
            <w:rFonts w:ascii="Verdana" w:hAnsi="Verdana"/>
            <w:color w:val="2F48A3"/>
            <w:sz w:val="21"/>
            <w:szCs w:val="21"/>
            <w:bdr w:val="none" w:sz="0" w:space="0" w:color="auto" w:frame="1"/>
          </w:rPr>
          <w:t>айты федеральных органов исполнительной власти</w:t>
        </w:r>
      </w:hyperlink>
    </w:p>
    <w:p w:rsidR="00AE621A" w:rsidRPr="00C5248C" w:rsidRDefault="00AE621A" w:rsidP="00C52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21A" w:rsidRPr="00C5248C" w:rsidSect="00B712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80"/>
    <w:rsid w:val="00383881"/>
    <w:rsid w:val="008E43C3"/>
    <w:rsid w:val="00AE621A"/>
    <w:rsid w:val="00B7125D"/>
    <w:rsid w:val="00C5248C"/>
    <w:rsid w:val="00E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D4D3-1339-4978-A49D-3B6353C9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8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terrortoday.com/" TargetMode="External"/><Relationship Id="rId13" Type="http://schemas.openxmlformats.org/officeDocument/2006/relationships/hyperlink" Target="http://antiterror.sitecity.ru/index.p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c.gov.ru/subekty-federacii/sverdlovskaya-oblast.html" TargetMode="External"/><Relationship Id="rId12" Type="http://schemas.openxmlformats.org/officeDocument/2006/relationships/hyperlink" Target="http://antiterror.sitecity.ru/index.phtml" TargetMode="External"/><Relationship Id="rId17" Type="http://schemas.openxmlformats.org/officeDocument/2006/relationships/hyperlink" Target="http://www.gov.ru/main/ministry/isp-vlast4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v.ru/main/ministry/isp-vlast4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c.gov.ru/subekty-federacii/sverdlovskaya-oblast.html" TargetMode="External"/><Relationship Id="rId11" Type="http://schemas.openxmlformats.org/officeDocument/2006/relationships/hyperlink" Target="http://vimpel-v.com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scienceport.ru/" TargetMode="External"/><Relationship Id="rId10" Type="http://schemas.openxmlformats.org/officeDocument/2006/relationships/hyperlink" Target="http://vimpel-v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antiterrortoday.com/" TargetMode="External"/><Relationship Id="rId14" Type="http://schemas.openxmlformats.org/officeDocument/2006/relationships/hyperlink" Target="http://science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2023-05-04T11:25:00Z</dcterms:created>
  <dcterms:modified xsi:type="dcterms:W3CDTF">2023-05-11T05:34:00Z</dcterms:modified>
</cp:coreProperties>
</file>